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6362" w14:textId="77777777" w:rsidR="00715CCB" w:rsidRPr="00CC6A2D" w:rsidRDefault="00715CCB" w:rsidP="00FD3546">
      <w:pPr>
        <w:pStyle w:val="Title"/>
        <w:jc w:val="left"/>
        <w:rPr>
          <w:sz w:val="32"/>
          <w:szCs w:val="32"/>
          <w:lang w:val="en-US"/>
        </w:rPr>
      </w:pPr>
      <w:r>
        <w:rPr>
          <w:noProof/>
          <w:lang w:val="en-US"/>
        </w:rPr>
        <w:drawing>
          <wp:anchor distT="0" distB="0" distL="114300" distR="114300" simplePos="0" relativeHeight="251658240" behindDoc="0" locked="0" layoutInCell="1" allowOverlap="1" wp14:anchorId="15250062" wp14:editId="478C7775">
            <wp:simplePos x="4053840" y="914400"/>
            <wp:positionH relativeFrom="column">
              <wp:align>right</wp:align>
            </wp:positionH>
            <wp:positionV relativeFrom="paragraph">
              <wp:align>top</wp:align>
            </wp:positionV>
            <wp:extent cx="2590800" cy="649224"/>
            <wp:effectExtent l="0" t="0" r="0" b="0"/>
            <wp:wrapSquare wrapText="bothSides"/>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r w:rsidR="00FD3546">
        <w:rPr>
          <w:lang w:val="en-US"/>
        </w:rPr>
        <w:br w:type="textWrapping" w:clear="all"/>
      </w:r>
    </w:p>
    <w:p w14:paraId="0ACE28EF" w14:textId="77777777" w:rsidR="007A691E" w:rsidRDefault="007A691E" w:rsidP="007A691E">
      <w:pPr>
        <w:pStyle w:val="Title"/>
        <w:pBdr>
          <w:top w:val="single" w:sz="12" w:space="1" w:color="004F6B" w:themeColor="accent1"/>
          <w:bottom w:val="single" w:sz="12" w:space="1" w:color="004F6B" w:themeColor="accent1"/>
        </w:pBdr>
        <w:rPr>
          <w:lang w:val="en-US"/>
        </w:rPr>
      </w:pPr>
      <w:r>
        <w:rPr>
          <w:lang w:val="en-US"/>
        </w:rPr>
        <w:t>Summary of responses</w:t>
      </w:r>
    </w:p>
    <w:p w14:paraId="3914487E" w14:textId="77777777" w:rsidR="007A691E" w:rsidRPr="007A691E" w:rsidRDefault="007A691E" w:rsidP="007A691E">
      <w:pPr>
        <w:pStyle w:val="Subtitle"/>
        <w:pBdr>
          <w:top w:val="single" w:sz="12" w:space="1" w:color="004F6B" w:themeColor="accent1"/>
          <w:bottom w:val="single" w:sz="12" w:space="1" w:color="004F6B" w:themeColor="accent1"/>
        </w:pBdr>
      </w:pPr>
      <w:r w:rsidRPr="007A691E">
        <w:t xml:space="preserve">Neurodivergent people's experiences of outpatients in Surrey hospitals </w:t>
      </w:r>
    </w:p>
    <w:p w14:paraId="38F8A760" w14:textId="163641DC" w:rsidR="0035049B" w:rsidRDefault="007A691E" w:rsidP="007A691E">
      <w:pPr>
        <w:pStyle w:val="Subtitle"/>
        <w:pBdr>
          <w:top w:val="single" w:sz="12" w:space="1" w:color="004F6B" w:themeColor="accent1"/>
          <w:bottom w:val="single" w:sz="12" w:space="1" w:color="004F6B" w:themeColor="accent1"/>
        </w:pBdr>
        <w:rPr>
          <w:lang w:val="en-US"/>
        </w:rPr>
      </w:pPr>
      <w:r>
        <w:rPr>
          <w:lang w:val="en-US"/>
        </w:rPr>
        <w:t>September 2024</w:t>
      </w:r>
    </w:p>
    <w:p w14:paraId="4F7C7520" w14:textId="77777777" w:rsidR="007A691E" w:rsidRDefault="007A691E" w:rsidP="007A691E"/>
    <w:p w14:paraId="3F58D295" w14:textId="445A18F6" w:rsidR="007A691E" w:rsidRPr="00B63C4F" w:rsidRDefault="007A691E" w:rsidP="007A691E">
      <w:pPr>
        <w:pStyle w:val="Heading1"/>
        <w:rPr>
          <w:rFonts w:eastAsia="Times New Roman"/>
          <w:lang w:eastAsia="en-GB"/>
        </w:rPr>
      </w:pPr>
      <w:r w:rsidRPr="00B63C4F">
        <w:t>Surrey and Sussex NHS Trust</w:t>
      </w:r>
    </w:p>
    <w:p w14:paraId="4D936130" w14:textId="77777777" w:rsidR="007A691E" w:rsidRPr="00EE3EF1" w:rsidRDefault="007A691E" w:rsidP="007A691E">
      <w:pPr>
        <w:rPr>
          <w:rFonts w:ascii="Calibri" w:hAnsi="Calibri" w:cs="Calibri"/>
          <w:i/>
          <w:iCs/>
          <w:sz w:val="22"/>
          <w:lang w:eastAsia="en-GB"/>
        </w:rPr>
      </w:pPr>
      <w:r w:rsidRPr="00DF4769">
        <w:t>Thank you for sharing this report with us and for the work that has been undertaken to make it happen.</w:t>
      </w:r>
      <w:r>
        <w:t xml:space="preserve"> </w:t>
      </w:r>
      <w:r w:rsidRPr="00DF4769">
        <w:t>The report has been shared and discussed with key colleagues at the Trust and we have agreed the following:</w:t>
      </w:r>
    </w:p>
    <w:p w14:paraId="2A045E15" w14:textId="77777777" w:rsidR="007A691E" w:rsidRPr="00DF4769" w:rsidRDefault="007A691E" w:rsidP="007A691E">
      <w:pPr>
        <w:rPr>
          <w:rFonts w:ascii="Calibri" w:hAnsi="Calibri" w:cs="Calibri"/>
          <w:i/>
          <w:iCs/>
          <w:color w:val="44546A"/>
          <w:sz w:val="22"/>
          <w:lang w:eastAsia="en-GB"/>
        </w:rPr>
      </w:pPr>
      <w:r w:rsidRPr="00DF4769">
        <w:t xml:space="preserve">To encompass the recommendations (where feasible) within a current project of work we have in operation which is to ensure compliance with the Accessible Information Standards. We are part of a project group led by Surrey Heartlands who are focussing on this </w:t>
      </w:r>
      <w:proofErr w:type="gramStart"/>
      <w:r w:rsidRPr="00DF4769">
        <w:t>particular area</w:t>
      </w:r>
      <w:proofErr w:type="gramEnd"/>
      <w:r w:rsidRPr="00DF4769">
        <w:t xml:space="preserve"> of patient experience, and we also have an internal project plan and working group to facilitate the necessary actions to meet compliance.</w:t>
      </w:r>
    </w:p>
    <w:p w14:paraId="049A17D6" w14:textId="77777777" w:rsidR="007A691E" w:rsidRPr="00B63C4F" w:rsidRDefault="007A691E" w:rsidP="007A691E">
      <w:pPr>
        <w:rPr>
          <w:rFonts w:ascii="Calibri" w:hAnsi="Calibri" w:cs="Calibri"/>
          <w:b/>
          <w:bCs/>
          <w:sz w:val="22"/>
          <w:lang w:eastAsia="en-GB"/>
        </w:rPr>
      </w:pPr>
      <w:r w:rsidRPr="00B63C4F">
        <w:rPr>
          <w:b/>
          <w:bCs/>
        </w:rPr>
        <w:t>Patient and Public Participation Team</w:t>
      </w:r>
    </w:p>
    <w:p w14:paraId="269115CE" w14:textId="77777777" w:rsidR="007A691E" w:rsidRDefault="007A691E" w:rsidP="007A691E"/>
    <w:p w14:paraId="26FE47FE" w14:textId="77777777" w:rsidR="007A691E" w:rsidRPr="00B63C4F" w:rsidRDefault="007A691E" w:rsidP="007A691E">
      <w:pPr>
        <w:rPr>
          <w:b/>
          <w:bCs/>
          <w:lang w:eastAsia="en-GB"/>
        </w:rPr>
      </w:pPr>
      <w:r w:rsidRPr="007A691E">
        <w:rPr>
          <w:rStyle w:val="Heading1Char"/>
        </w:rPr>
        <w:t>Ashford and St. Peter’s Hospitals NHS Trust</w:t>
      </w:r>
      <w:r>
        <w:br/>
        <w:t xml:space="preserve">The themes from the report will be shared with the divisions and within the teams for comments, reflection and more importantly action.  We are proposing that monitoring of such actions </w:t>
      </w:r>
      <w:proofErr w:type="gramStart"/>
      <w:r>
        <w:t>are</w:t>
      </w:r>
      <w:proofErr w:type="gramEnd"/>
      <w:r>
        <w:t xml:space="preserve"> presented at the </w:t>
      </w:r>
      <w:proofErr w:type="spellStart"/>
      <w:r>
        <w:t>LfPE</w:t>
      </w:r>
      <w:proofErr w:type="spellEnd"/>
      <w:r>
        <w:t xml:space="preserve"> (Learning from Patient Experience) meeting in October and this will be built into all divisional templates to provide comment.  Progress for something as big as this will need regular review and monitoring and </w:t>
      </w:r>
      <w:proofErr w:type="gramStart"/>
      <w:r>
        <w:t>thus</w:t>
      </w:r>
      <w:proofErr w:type="gramEnd"/>
      <w:r>
        <w:t xml:space="preserve"> we plan to have it as a recurring agenda item at each monthly meeting.</w:t>
      </w:r>
    </w:p>
    <w:p w14:paraId="041CB20B" w14:textId="77777777" w:rsidR="007A691E" w:rsidRPr="00EE3EF1" w:rsidRDefault="007A691E" w:rsidP="007A691E">
      <w:pPr>
        <w:rPr>
          <w:b/>
          <w:bCs/>
          <w:lang w:eastAsia="en-GB"/>
        </w:rPr>
      </w:pPr>
      <w:r w:rsidRPr="00EE3EF1">
        <w:rPr>
          <w:b/>
          <w:bCs/>
        </w:rPr>
        <w:t>Patient Experience Team - Ashford and St Peter's Hospital</w:t>
      </w:r>
    </w:p>
    <w:p w14:paraId="5BE71082" w14:textId="77777777" w:rsidR="007A691E" w:rsidRDefault="007A691E" w:rsidP="007A691E">
      <w:pPr>
        <w:pStyle w:val="Heading2"/>
      </w:pPr>
    </w:p>
    <w:p w14:paraId="4A713420" w14:textId="77777777" w:rsidR="007A691E" w:rsidRDefault="007A691E" w:rsidP="007A691E">
      <w:pPr>
        <w:pStyle w:val="Heading1"/>
        <w:rPr>
          <w:rFonts w:ascii="Aptos Display" w:eastAsia="Aptos Display" w:hAnsi="Aptos Display" w:cs="Aptos Display"/>
        </w:rPr>
      </w:pPr>
      <w:r w:rsidRPr="634A1B4D">
        <w:t>Royal Surrey NHS Foundation Trust</w:t>
      </w:r>
    </w:p>
    <w:p w14:paraId="73E994DA" w14:textId="77777777" w:rsidR="007A691E" w:rsidRDefault="007A691E" w:rsidP="007A691E">
      <w:pPr>
        <w:rPr>
          <w:rFonts w:ascii="Calibri" w:eastAsia="Calibri" w:hAnsi="Calibri" w:cs="Calibri"/>
          <w:color w:val="000000" w:themeColor="text1"/>
        </w:rPr>
      </w:pPr>
      <w:r w:rsidRPr="634A1B4D">
        <w:t xml:space="preserve">At the Royal Surrey NHS Foundation </w:t>
      </w:r>
      <w:proofErr w:type="gramStart"/>
      <w:r w:rsidRPr="634A1B4D">
        <w:t>Trust</w:t>
      </w:r>
      <w:proofErr w:type="gramEnd"/>
      <w:r w:rsidRPr="634A1B4D">
        <w:t xml:space="preserve"> we have and continue to work hard on supporting our neurodivergent patients and carers in an </w:t>
      </w:r>
      <w:r w:rsidRPr="634A1B4D">
        <w:lastRenderedPageBreak/>
        <w:t>outpatient setting.</w:t>
      </w:r>
      <w:r>
        <w:rPr>
          <w:rFonts w:ascii="Calibri" w:eastAsia="Calibri" w:hAnsi="Calibri" w:cs="Calibri"/>
          <w:color w:val="000000" w:themeColor="text1"/>
        </w:rPr>
        <w:t xml:space="preserve"> </w:t>
      </w:r>
      <w:r w:rsidRPr="634A1B4D">
        <w:t>We acknowledge to date that the experience for our patients and carers needs work and focus and the lived experience in this report truly helps develop this work. We have used this report to develop pour commitments in response to the experiences highlighted.</w:t>
      </w:r>
    </w:p>
    <w:p w14:paraId="6300583E" w14:textId="77777777" w:rsidR="007A691E" w:rsidRPr="00EE3EF1" w:rsidRDefault="007A691E" w:rsidP="007A691E">
      <w:pPr>
        <w:rPr>
          <w:rFonts w:ascii="Calibri" w:eastAsia="Calibri" w:hAnsi="Calibri" w:cs="Calibri"/>
          <w:b/>
          <w:bCs/>
          <w:color w:val="000000" w:themeColor="text1"/>
        </w:rPr>
      </w:pPr>
      <w:r w:rsidRPr="00EE3EF1">
        <w:rPr>
          <w:b/>
          <w:bCs/>
        </w:rPr>
        <w:t>Professional Director of Nursing and Cancer</w:t>
      </w:r>
    </w:p>
    <w:p w14:paraId="1F4635D7" w14:textId="77777777" w:rsidR="007A691E" w:rsidRDefault="007A691E" w:rsidP="007A691E"/>
    <w:p w14:paraId="251797BD" w14:textId="77777777" w:rsidR="00BC5343" w:rsidRDefault="00BC5343" w:rsidP="007A691E"/>
    <w:sectPr w:rsidR="00BC5343" w:rsidSect="00192363">
      <w:headerReference w:type="default" r:id="rId12"/>
      <w:footerReference w:type="default" r:id="rId1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10FB9" w14:textId="77777777" w:rsidR="007A691E" w:rsidRDefault="007A691E" w:rsidP="00810BB9">
      <w:r>
        <w:separator/>
      </w:r>
    </w:p>
  </w:endnote>
  <w:endnote w:type="continuationSeparator" w:id="0">
    <w:p w14:paraId="0760EA18" w14:textId="77777777" w:rsidR="007A691E" w:rsidRDefault="007A691E" w:rsidP="00810BB9">
      <w:r>
        <w:continuationSeparator/>
      </w:r>
    </w:p>
  </w:endnote>
  <w:endnote w:type="continuationNotice" w:id="1">
    <w:p w14:paraId="4B4C6CE0" w14:textId="77777777" w:rsidR="007A691E" w:rsidRDefault="007A6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823C"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62336" behindDoc="0" locked="0" layoutInCell="1" allowOverlap="1" wp14:anchorId="5B4E802B" wp14:editId="6D97E8E8">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23116993" w14:textId="77777777" w:rsidR="00C46DF9" w:rsidRPr="006434C8" w:rsidRDefault="00FD3546" w:rsidP="00C46DF9">
                          <w:pPr>
                            <w:rPr>
                              <w:color w:val="FFFFFF" w:themeColor="background1"/>
                            </w:rPr>
                          </w:pPr>
                          <w:r>
                            <w:rPr>
                              <w:color w:val="FFFFFF" w:themeColor="background1"/>
                            </w:rPr>
                            <w:t>Document title</w:t>
                          </w:r>
                          <w:r w:rsidR="00FA04B3">
                            <w:rPr>
                              <w:color w:val="FFFFFF" w:themeColor="background1"/>
                            </w:rPr>
                            <w:t xml:space="preserve"> – </w:t>
                          </w:r>
                          <w:r w:rsidR="00CA6B3F">
                            <w:rPr>
                              <w:color w:val="FFFFFF" w:themeColor="background1"/>
                            </w:rPr>
                            <w:t>xxx</w:t>
                          </w:r>
                          <w:r w:rsidR="00FA04B3">
                            <w:rPr>
                              <w:color w:val="FFFFFF" w:themeColor="background1"/>
                            </w:rPr>
                            <w:t xml:space="preserve"> 202</w:t>
                          </w:r>
                          <w:r w:rsidR="00CA6B3F">
                            <w:rPr>
                              <w:color w:val="FFFFFF" w:themeColor="background1"/>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E802B" id="_x0000_t202" coordsize="21600,21600" o:spt="202" path="m,l,21600r21600,l21600,xe">
              <v:stroke joinstyle="miter"/>
              <v:path gradientshapeok="t" o:connecttype="rect"/>
            </v:shapetype>
            <v:shape id="Text Box 2" o:spid="_x0000_s1026" type="#_x0000_t202" style="position:absolute;left:0;text-align:left;margin-left:-46.8pt;margin-top:20.3pt;width:283.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23116993" w14:textId="77777777" w:rsidR="00C46DF9" w:rsidRPr="006434C8" w:rsidRDefault="00FD3546" w:rsidP="00C46DF9">
                    <w:pPr>
                      <w:rPr>
                        <w:color w:val="FFFFFF" w:themeColor="background1"/>
                      </w:rPr>
                    </w:pPr>
                    <w:r>
                      <w:rPr>
                        <w:color w:val="FFFFFF" w:themeColor="background1"/>
                      </w:rPr>
                      <w:t>Document title</w:t>
                    </w:r>
                    <w:r w:rsidR="00FA04B3">
                      <w:rPr>
                        <w:color w:val="FFFFFF" w:themeColor="background1"/>
                      </w:rPr>
                      <w:t xml:space="preserve"> – </w:t>
                    </w:r>
                    <w:r w:rsidR="00CA6B3F">
                      <w:rPr>
                        <w:color w:val="FFFFFF" w:themeColor="background1"/>
                      </w:rPr>
                      <w:t>xxx</w:t>
                    </w:r>
                    <w:r w:rsidR="00FA04B3">
                      <w:rPr>
                        <w:color w:val="FFFFFF" w:themeColor="background1"/>
                      </w:rPr>
                      <w:t xml:space="preserve"> 202</w:t>
                    </w:r>
                    <w:r w:rsidR="00CA6B3F">
                      <w:rPr>
                        <w:color w:val="FFFFFF" w:themeColor="background1"/>
                      </w:rPr>
                      <w:t>3</w:t>
                    </w:r>
                  </w:p>
                </w:txbxContent>
              </v:textbox>
              <w10:wrap type="square"/>
            </v:shape>
          </w:pict>
        </mc:Fallback>
      </mc:AlternateContent>
    </w:r>
    <w:r w:rsidR="00C46DF9">
      <w:rPr>
        <w:noProof/>
      </w:rPr>
      <w:drawing>
        <wp:anchor distT="0" distB="0" distL="114300" distR="114300" simplePos="0" relativeHeight="251657216" behindDoc="0" locked="0" layoutInCell="1" allowOverlap="1" wp14:anchorId="77CEECB6" wp14:editId="585BF9A0">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4A1B28F0" w14:textId="77777777" w:rsidR="00810BB9" w:rsidRDefault="00C46DF9">
    <w:pPr>
      <w:pStyle w:val="Footer"/>
    </w:pPr>
    <w:r>
      <w:rPr>
        <w:noProof/>
      </w:rPr>
      <mc:AlternateContent>
        <mc:Choice Requires="wps">
          <w:drawing>
            <wp:anchor distT="45720" distB="45720" distL="114300" distR="114300" simplePos="0" relativeHeight="251667456" behindDoc="0" locked="0" layoutInCell="1" allowOverlap="1" wp14:anchorId="5B846489" wp14:editId="0111CDD1">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5A44E4A4"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46489" id="_x0000_s1027" type="#_x0000_t202" style="position:absolute;margin-left:473.4pt;margin-top:6.5pt;width:101.4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filled="f" stroked="f">
              <v:textbox style="mso-fit-shape-to-text:t">
                <w:txbxContent>
                  <w:sdt>
                    <w:sdtPr>
                      <w:rPr>
                        <w:color w:val="FFFFFF" w:themeColor="background1"/>
                      </w:rPr>
                      <w:id w:val="832570744"/>
                      <w:docPartObj>
                        <w:docPartGallery w:val="Page Numbers (Top of Page)"/>
                        <w:docPartUnique/>
                      </w:docPartObj>
                    </w:sdtPr>
                    <w:sdtEndPr/>
                    <w:sdtContent>
                      <w:p w14:paraId="5A44E4A4"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21FBB" w14:textId="77777777" w:rsidR="007A691E" w:rsidRDefault="007A691E" w:rsidP="00810BB9">
      <w:r>
        <w:separator/>
      </w:r>
    </w:p>
  </w:footnote>
  <w:footnote w:type="continuationSeparator" w:id="0">
    <w:p w14:paraId="7DA132ED" w14:textId="77777777" w:rsidR="007A691E" w:rsidRDefault="007A691E" w:rsidP="00810BB9">
      <w:r>
        <w:continuationSeparator/>
      </w:r>
    </w:p>
  </w:footnote>
  <w:footnote w:type="continuationNotice" w:id="1">
    <w:p w14:paraId="227FD516" w14:textId="77777777" w:rsidR="007A691E" w:rsidRDefault="007A6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949B5" w14:textId="77777777" w:rsidR="0009774D" w:rsidRDefault="00D82729" w:rsidP="0009774D">
    <w:pPr>
      <w:pStyle w:val="Header"/>
      <w:jc w:val="right"/>
    </w:pPr>
    <w:r>
      <w:rPr>
        <w:noProof/>
      </w:rPr>
      <mc:AlternateContent>
        <mc:Choice Requires="wps">
          <w:drawing>
            <wp:anchor distT="0" distB="0" distL="114300" distR="114300" simplePos="0" relativeHeight="251652096" behindDoc="0" locked="0" layoutInCell="1" allowOverlap="1" wp14:anchorId="7A172E9F" wp14:editId="66648DEF">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7C094" id="Straight Connector 2" o:spid="_x0000_s1026" alt="Green line used as a separator under the logo." style="position:absolute;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3AA5F38C" wp14:editId="0B7D2704">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6pt;height:467.6pt" o:bullet="t">
        <v:imagedata r:id="rId1" o:title="OurVoice_250mm_HTML_RhodamineR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067921037">
    <w:abstractNumId w:val="7"/>
  </w:num>
  <w:num w:numId="7" w16cid:durableId="306862147">
    <w:abstractNumId w:val="6"/>
  </w:num>
  <w:num w:numId="8" w16cid:durableId="110808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1E"/>
    <w:rsid w:val="00002479"/>
    <w:rsid w:val="00006F09"/>
    <w:rsid w:val="0002082F"/>
    <w:rsid w:val="00053592"/>
    <w:rsid w:val="000615A1"/>
    <w:rsid w:val="00065649"/>
    <w:rsid w:val="000659AF"/>
    <w:rsid w:val="00065B98"/>
    <w:rsid w:val="000663FF"/>
    <w:rsid w:val="00087669"/>
    <w:rsid w:val="00095222"/>
    <w:rsid w:val="00096A6A"/>
    <w:rsid w:val="0009774D"/>
    <w:rsid w:val="00097779"/>
    <w:rsid w:val="000A1739"/>
    <w:rsid w:val="000A2FE3"/>
    <w:rsid w:val="000A533C"/>
    <w:rsid w:val="000A6BE5"/>
    <w:rsid w:val="000B5B17"/>
    <w:rsid w:val="000B767D"/>
    <w:rsid w:val="000C3873"/>
    <w:rsid w:val="000C3DF5"/>
    <w:rsid w:val="000C7A3C"/>
    <w:rsid w:val="000D3CC7"/>
    <w:rsid w:val="000E31A3"/>
    <w:rsid w:val="000F161B"/>
    <w:rsid w:val="00100172"/>
    <w:rsid w:val="0010697F"/>
    <w:rsid w:val="001121E7"/>
    <w:rsid w:val="00112A47"/>
    <w:rsid w:val="00130EC6"/>
    <w:rsid w:val="001363EA"/>
    <w:rsid w:val="00136C33"/>
    <w:rsid w:val="00141AC2"/>
    <w:rsid w:val="00142FD7"/>
    <w:rsid w:val="00153CE9"/>
    <w:rsid w:val="00162419"/>
    <w:rsid w:val="00192028"/>
    <w:rsid w:val="00192363"/>
    <w:rsid w:val="00192FBA"/>
    <w:rsid w:val="00196493"/>
    <w:rsid w:val="001B18E1"/>
    <w:rsid w:val="001B2640"/>
    <w:rsid w:val="001B418D"/>
    <w:rsid w:val="001C7591"/>
    <w:rsid w:val="001D0575"/>
    <w:rsid w:val="001D451F"/>
    <w:rsid w:val="001D4848"/>
    <w:rsid w:val="001E2BA8"/>
    <w:rsid w:val="001E371C"/>
    <w:rsid w:val="0020377A"/>
    <w:rsid w:val="00207B26"/>
    <w:rsid w:val="00213466"/>
    <w:rsid w:val="00223B97"/>
    <w:rsid w:val="00223D58"/>
    <w:rsid w:val="00224A2F"/>
    <w:rsid w:val="00231046"/>
    <w:rsid w:val="00236625"/>
    <w:rsid w:val="00244E9E"/>
    <w:rsid w:val="0024647D"/>
    <w:rsid w:val="00250ED9"/>
    <w:rsid w:val="00253B35"/>
    <w:rsid w:val="00254CB6"/>
    <w:rsid w:val="00256ED7"/>
    <w:rsid w:val="002610D3"/>
    <w:rsid w:val="00261ED1"/>
    <w:rsid w:val="00263547"/>
    <w:rsid w:val="00273001"/>
    <w:rsid w:val="002779F5"/>
    <w:rsid w:val="0028111A"/>
    <w:rsid w:val="002823CE"/>
    <w:rsid w:val="00284DF9"/>
    <w:rsid w:val="002850F3"/>
    <w:rsid w:val="00292CD9"/>
    <w:rsid w:val="00295D71"/>
    <w:rsid w:val="002B203B"/>
    <w:rsid w:val="002B32C7"/>
    <w:rsid w:val="002B3B46"/>
    <w:rsid w:val="002B7F7B"/>
    <w:rsid w:val="002C0679"/>
    <w:rsid w:val="002D0102"/>
    <w:rsid w:val="002D1DBC"/>
    <w:rsid w:val="002D588D"/>
    <w:rsid w:val="002E1487"/>
    <w:rsid w:val="002F36C6"/>
    <w:rsid w:val="002F43BB"/>
    <w:rsid w:val="003100EE"/>
    <w:rsid w:val="00311C45"/>
    <w:rsid w:val="003144A9"/>
    <w:rsid w:val="00315C97"/>
    <w:rsid w:val="00341292"/>
    <w:rsid w:val="00347FEB"/>
    <w:rsid w:val="0035049B"/>
    <w:rsid w:val="00361F51"/>
    <w:rsid w:val="00373E21"/>
    <w:rsid w:val="00374B91"/>
    <w:rsid w:val="00376EA8"/>
    <w:rsid w:val="003774A3"/>
    <w:rsid w:val="003840AD"/>
    <w:rsid w:val="003A7B22"/>
    <w:rsid w:val="003B14CE"/>
    <w:rsid w:val="003C02B9"/>
    <w:rsid w:val="003C2F25"/>
    <w:rsid w:val="003C57B7"/>
    <w:rsid w:val="003D17CC"/>
    <w:rsid w:val="003D7DED"/>
    <w:rsid w:val="003E0ED3"/>
    <w:rsid w:val="003E1A12"/>
    <w:rsid w:val="003E7337"/>
    <w:rsid w:val="003F112E"/>
    <w:rsid w:val="003F192C"/>
    <w:rsid w:val="003F1F33"/>
    <w:rsid w:val="00400359"/>
    <w:rsid w:val="00402283"/>
    <w:rsid w:val="00413D57"/>
    <w:rsid w:val="0041440A"/>
    <w:rsid w:val="00427CCE"/>
    <w:rsid w:val="00432B52"/>
    <w:rsid w:val="00456D71"/>
    <w:rsid w:val="00463C86"/>
    <w:rsid w:val="00470317"/>
    <w:rsid w:val="00470911"/>
    <w:rsid w:val="004749F9"/>
    <w:rsid w:val="00476386"/>
    <w:rsid w:val="00486C09"/>
    <w:rsid w:val="004A4C43"/>
    <w:rsid w:val="004B0B8C"/>
    <w:rsid w:val="004B28C8"/>
    <w:rsid w:val="004C1522"/>
    <w:rsid w:val="004C2AC5"/>
    <w:rsid w:val="004C5A63"/>
    <w:rsid w:val="004D0E83"/>
    <w:rsid w:val="004D266E"/>
    <w:rsid w:val="004D4551"/>
    <w:rsid w:val="004D5FDB"/>
    <w:rsid w:val="004D7798"/>
    <w:rsid w:val="004D7B54"/>
    <w:rsid w:val="004E3BC2"/>
    <w:rsid w:val="004E6EA4"/>
    <w:rsid w:val="004F45A6"/>
    <w:rsid w:val="00516E97"/>
    <w:rsid w:val="00517856"/>
    <w:rsid w:val="005258D8"/>
    <w:rsid w:val="00534700"/>
    <w:rsid w:val="005430F3"/>
    <w:rsid w:val="0055109F"/>
    <w:rsid w:val="00554FD5"/>
    <w:rsid w:val="00561BFB"/>
    <w:rsid w:val="00595D2E"/>
    <w:rsid w:val="00597F58"/>
    <w:rsid w:val="005A15FA"/>
    <w:rsid w:val="005A2B6E"/>
    <w:rsid w:val="005A6120"/>
    <w:rsid w:val="005B0802"/>
    <w:rsid w:val="005D080E"/>
    <w:rsid w:val="005D554C"/>
    <w:rsid w:val="005E03B2"/>
    <w:rsid w:val="005E5873"/>
    <w:rsid w:val="005E5F68"/>
    <w:rsid w:val="005F2E2A"/>
    <w:rsid w:val="00607C63"/>
    <w:rsid w:val="00611C87"/>
    <w:rsid w:val="00631E54"/>
    <w:rsid w:val="00632BB0"/>
    <w:rsid w:val="00635BA9"/>
    <w:rsid w:val="0064318B"/>
    <w:rsid w:val="00644A68"/>
    <w:rsid w:val="00646A59"/>
    <w:rsid w:val="00657420"/>
    <w:rsid w:val="006663C5"/>
    <w:rsid w:val="00680679"/>
    <w:rsid w:val="0069523B"/>
    <w:rsid w:val="006A0CFA"/>
    <w:rsid w:val="006A68FA"/>
    <w:rsid w:val="006B129D"/>
    <w:rsid w:val="006B3809"/>
    <w:rsid w:val="006B4898"/>
    <w:rsid w:val="006B51B5"/>
    <w:rsid w:val="006C0622"/>
    <w:rsid w:val="006C1D75"/>
    <w:rsid w:val="006C5BE5"/>
    <w:rsid w:val="006C7594"/>
    <w:rsid w:val="006C7C47"/>
    <w:rsid w:val="006D274A"/>
    <w:rsid w:val="006D4C85"/>
    <w:rsid w:val="006D4F2C"/>
    <w:rsid w:val="006D597E"/>
    <w:rsid w:val="006E06AA"/>
    <w:rsid w:val="006E6CA2"/>
    <w:rsid w:val="00700DAC"/>
    <w:rsid w:val="00701C5C"/>
    <w:rsid w:val="007031EF"/>
    <w:rsid w:val="00703842"/>
    <w:rsid w:val="00705249"/>
    <w:rsid w:val="0070576E"/>
    <w:rsid w:val="007072C3"/>
    <w:rsid w:val="00713801"/>
    <w:rsid w:val="00715CCB"/>
    <w:rsid w:val="0071746C"/>
    <w:rsid w:val="00730752"/>
    <w:rsid w:val="00747C0E"/>
    <w:rsid w:val="00756CCB"/>
    <w:rsid w:val="007639F9"/>
    <w:rsid w:val="007656C7"/>
    <w:rsid w:val="00795F45"/>
    <w:rsid w:val="007A691E"/>
    <w:rsid w:val="007A70C8"/>
    <w:rsid w:val="007B4E49"/>
    <w:rsid w:val="007E191E"/>
    <w:rsid w:val="007E51B8"/>
    <w:rsid w:val="007E520E"/>
    <w:rsid w:val="007E53BC"/>
    <w:rsid w:val="007E78C6"/>
    <w:rsid w:val="007F096D"/>
    <w:rsid w:val="007F2F08"/>
    <w:rsid w:val="00801D27"/>
    <w:rsid w:val="008102E4"/>
    <w:rsid w:val="00810BB9"/>
    <w:rsid w:val="00810DCF"/>
    <w:rsid w:val="00812248"/>
    <w:rsid w:val="008128F3"/>
    <w:rsid w:val="00812B72"/>
    <w:rsid w:val="00815437"/>
    <w:rsid w:val="0081645E"/>
    <w:rsid w:val="00816B15"/>
    <w:rsid w:val="00820D7C"/>
    <w:rsid w:val="008210FA"/>
    <w:rsid w:val="00830081"/>
    <w:rsid w:val="00835F30"/>
    <w:rsid w:val="00844D8F"/>
    <w:rsid w:val="00853BEB"/>
    <w:rsid w:val="00853E0C"/>
    <w:rsid w:val="00857074"/>
    <w:rsid w:val="00861A85"/>
    <w:rsid w:val="0086405F"/>
    <w:rsid w:val="008676C1"/>
    <w:rsid w:val="00867D95"/>
    <w:rsid w:val="008A0DE4"/>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016A"/>
    <w:rsid w:val="00901F5A"/>
    <w:rsid w:val="00907929"/>
    <w:rsid w:val="00914B50"/>
    <w:rsid w:val="00915C80"/>
    <w:rsid w:val="0092437B"/>
    <w:rsid w:val="00930A3B"/>
    <w:rsid w:val="00936089"/>
    <w:rsid w:val="00936F7A"/>
    <w:rsid w:val="009542D3"/>
    <w:rsid w:val="009554FA"/>
    <w:rsid w:val="00964E13"/>
    <w:rsid w:val="00965686"/>
    <w:rsid w:val="009741C8"/>
    <w:rsid w:val="00986532"/>
    <w:rsid w:val="0099099B"/>
    <w:rsid w:val="00995F33"/>
    <w:rsid w:val="009B1510"/>
    <w:rsid w:val="009B3FCE"/>
    <w:rsid w:val="009C041E"/>
    <w:rsid w:val="009C0AC8"/>
    <w:rsid w:val="009D27DE"/>
    <w:rsid w:val="009D4FA3"/>
    <w:rsid w:val="009D719D"/>
    <w:rsid w:val="00A04206"/>
    <w:rsid w:val="00A13A5C"/>
    <w:rsid w:val="00A13B4E"/>
    <w:rsid w:val="00A2218E"/>
    <w:rsid w:val="00A2381E"/>
    <w:rsid w:val="00A44970"/>
    <w:rsid w:val="00A45CEE"/>
    <w:rsid w:val="00A5122A"/>
    <w:rsid w:val="00A518C9"/>
    <w:rsid w:val="00A53ACA"/>
    <w:rsid w:val="00A60545"/>
    <w:rsid w:val="00A91321"/>
    <w:rsid w:val="00AA3838"/>
    <w:rsid w:val="00AA5E27"/>
    <w:rsid w:val="00AB7CF5"/>
    <w:rsid w:val="00AD0688"/>
    <w:rsid w:val="00AD1D8C"/>
    <w:rsid w:val="00AD22DE"/>
    <w:rsid w:val="00AD3AC3"/>
    <w:rsid w:val="00AF1D44"/>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855E5"/>
    <w:rsid w:val="00B9119B"/>
    <w:rsid w:val="00B94188"/>
    <w:rsid w:val="00B95765"/>
    <w:rsid w:val="00BA20DD"/>
    <w:rsid w:val="00BA4669"/>
    <w:rsid w:val="00BC0B86"/>
    <w:rsid w:val="00BC5343"/>
    <w:rsid w:val="00BC5483"/>
    <w:rsid w:val="00BE7701"/>
    <w:rsid w:val="00BF0EB3"/>
    <w:rsid w:val="00BF4ED7"/>
    <w:rsid w:val="00BF5A6D"/>
    <w:rsid w:val="00BF5F81"/>
    <w:rsid w:val="00C01E0F"/>
    <w:rsid w:val="00C049BA"/>
    <w:rsid w:val="00C07ECC"/>
    <w:rsid w:val="00C269AD"/>
    <w:rsid w:val="00C2701A"/>
    <w:rsid w:val="00C31145"/>
    <w:rsid w:val="00C40300"/>
    <w:rsid w:val="00C45A4D"/>
    <w:rsid w:val="00C46818"/>
    <w:rsid w:val="00C46DF9"/>
    <w:rsid w:val="00C51104"/>
    <w:rsid w:val="00C52F53"/>
    <w:rsid w:val="00C54D7C"/>
    <w:rsid w:val="00C5565F"/>
    <w:rsid w:val="00C61495"/>
    <w:rsid w:val="00C744F5"/>
    <w:rsid w:val="00C765FF"/>
    <w:rsid w:val="00C81703"/>
    <w:rsid w:val="00C82B9D"/>
    <w:rsid w:val="00C848A8"/>
    <w:rsid w:val="00C85507"/>
    <w:rsid w:val="00CA5C8F"/>
    <w:rsid w:val="00CA6B3F"/>
    <w:rsid w:val="00CB2A2B"/>
    <w:rsid w:val="00CB2B73"/>
    <w:rsid w:val="00CB4A04"/>
    <w:rsid w:val="00CB66D9"/>
    <w:rsid w:val="00CC11A5"/>
    <w:rsid w:val="00CC27B2"/>
    <w:rsid w:val="00CC6A2D"/>
    <w:rsid w:val="00CD27F9"/>
    <w:rsid w:val="00CD7DC5"/>
    <w:rsid w:val="00D04FA4"/>
    <w:rsid w:val="00D06F89"/>
    <w:rsid w:val="00D16C4C"/>
    <w:rsid w:val="00D17595"/>
    <w:rsid w:val="00D211B9"/>
    <w:rsid w:val="00D23892"/>
    <w:rsid w:val="00D26B79"/>
    <w:rsid w:val="00D275AB"/>
    <w:rsid w:val="00D36D7A"/>
    <w:rsid w:val="00D644EE"/>
    <w:rsid w:val="00D676A0"/>
    <w:rsid w:val="00D7162A"/>
    <w:rsid w:val="00D75798"/>
    <w:rsid w:val="00D75B06"/>
    <w:rsid w:val="00D772B9"/>
    <w:rsid w:val="00D80B62"/>
    <w:rsid w:val="00D82729"/>
    <w:rsid w:val="00D82C81"/>
    <w:rsid w:val="00D92EEC"/>
    <w:rsid w:val="00D97942"/>
    <w:rsid w:val="00DA056B"/>
    <w:rsid w:val="00DC6625"/>
    <w:rsid w:val="00DD1447"/>
    <w:rsid w:val="00DD1772"/>
    <w:rsid w:val="00DD7F81"/>
    <w:rsid w:val="00DE0010"/>
    <w:rsid w:val="00DE0F84"/>
    <w:rsid w:val="00DE2B8B"/>
    <w:rsid w:val="00DE3EE4"/>
    <w:rsid w:val="00DF2846"/>
    <w:rsid w:val="00E071A2"/>
    <w:rsid w:val="00E101FC"/>
    <w:rsid w:val="00E122D8"/>
    <w:rsid w:val="00E27508"/>
    <w:rsid w:val="00E54A1F"/>
    <w:rsid w:val="00E54F4A"/>
    <w:rsid w:val="00E62DD5"/>
    <w:rsid w:val="00E637B9"/>
    <w:rsid w:val="00E65B08"/>
    <w:rsid w:val="00E71207"/>
    <w:rsid w:val="00E72C6F"/>
    <w:rsid w:val="00E75A90"/>
    <w:rsid w:val="00E773E5"/>
    <w:rsid w:val="00E827A2"/>
    <w:rsid w:val="00E8577F"/>
    <w:rsid w:val="00E87C1E"/>
    <w:rsid w:val="00EB57D5"/>
    <w:rsid w:val="00EB6762"/>
    <w:rsid w:val="00EC1E75"/>
    <w:rsid w:val="00EC7EF6"/>
    <w:rsid w:val="00ED1135"/>
    <w:rsid w:val="00ED28F5"/>
    <w:rsid w:val="00F0044D"/>
    <w:rsid w:val="00F02D73"/>
    <w:rsid w:val="00F12577"/>
    <w:rsid w:val="00F133DE"/>
    <w:rsid w:val="00F549A4"/>
    <w:rsid w:val="00F62A0D"/>
    <w:rsid w:val="00F63C91"/>
    <w:rsid w:val="00F72F46"/>
    <w:rsid w:val="00F800D5"/>
    <w:rsid w:val="00F80A10"/>
    <w:rsid w:val="00F90C14"/>
    <w:rsid w:val="00FA04B3"/>
    <w:rsid w:val="00FA4DBA"/>
    <w:rsid w:val="00FA6E15"/>
    <w:rsid w:val="00FD0310"/>
    <w:rsid w:val="00FD32B2"/>
    <w:rsid w:val="00FD3546"/>
    <w:rsid w:val="00FD7494"/>
    <w:rsid w:val="00FE2DFB"/>
    <w:rsid w:val="00FE36E2"/>
    <w:rsid w:val="00FE4542"/>
    <w:rsid w:val="07C519D6"/>
    <w:rsid w:val="0C4FE931"/>
    <w:rsid w:val="0DEC3047"/>
    <w:rsid w:val="134C2BF4"/>
    <w:rsid w:val="13A31397"/>
    <w:rsid w:val="236031C6"/>
    <w:rsid w:val="283DCBD1"/>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A00D0"/>
  <w15:chartTrackingRefBased/>
  <w15:docId w15:val="{F9CA861F-25C8-4313-A41F-3DB3CD9C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CC6A2D"/>
    <w:rPr>
      <w:b/>
      <w:color w:val="auto"/>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CC6A2D"/>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6546072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Luminus%20CIC%20-%20Communications\Templates\Document%20templates%20-%20Healthwatch%20Surrey\Document%20template%20-%20Healthwatch%20Surrey%20-%20April%202024.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4E8DC510-AC2A-48E8-A870-5BEE4EF7F42B}"/>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eb0a305f-e293-4236-97ab-86fcd8a45de9"/>
  </ds:schemaRefs>
</ds:datastoreItem>
</file>

<file path=docProps/app.xml><?xml version="1.0" encoding="utf-8"?>
<Properties xmlns="http://schemas.openxmlformats.org/officeDocument/2006/extended-properties" xmlns:vt="http://schemas.openxmlformats.org/officeDocument/2006/docPropsVTypes">
  <Template>Document template - Healthwatch Surrey - April 2024</Template>
  <TotalTime>11</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Vicky Rushworth</cp:lastModifiedBy>
  <cp:revision>2</cp:revision>
  <cp:lastPrinted>2024-09-25T14:12:00Z</cp:lastPrinted>
  <dcterms:created xsi:type="dcterms:W3CDTF">2024-09-25T14:01:00Z</dcterms:created>
  <dcterms:modified xsi:type="dcterms:W3CDTF">2024-09-25T14:12:00Z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74400</vt:r8>
  </property>
</Properties>
</file>