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2551"/>
        <w:gridCol w:w="3402"/>
        <w:gridCol w:w="6324"/>
      </w:tblGrid>
      <w:tr w:rsidR="00EA7478" w:rsidRPr="00EA7478" w14:paraId="3C25B1AF" w14:textId="74070507" w:rsidTr="001D09D0">
        <w:trPr>
          <w:trHeight w:val="530"/>
        </w:trPr>
        <w:tc>
          <w:tcPr>
            <w:tcW w:w="2290" w:type="dxa"/>
            <w:shd w:val="clear" w:color="auto" w:fill="DAE9F7" w:themeFill="text2" w:themeFillTint="1A"/>
          </w:tcPr>
          <w:p w14:paraId="7EDA3DBA" w14:textId="320C1879" w:rsidR="00EA7478" w:rsidRPr="00EA7478" w:rsidRDefault="00EA7478" w:rsidP="001D09D0">
            <w:pPr>
              <w:pStyle w:val="Default"/>
              <w:jc w:val="center"/>
              <w:rPr>
                <w:sz w:val="20"/>
                <w:szCs w:val="20"/>
              </w:rPr>
            </w:pPr>
            <w:r w:rsidRPr="00EA7478">
              <w:rPr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551" w:type="dxa"/>
            <w:shd w:val="clear" w:color="auto" w:fill="DAE9F7" w:themeFill="text2" w:themeFillTint="1A"/>
          </w:tcPr>
          <w:p w14:paraId="157EF96A" w14:textId="1513B6A5" w:rsidR="00EA7478" w:rsidRPr="00EA7478" w:rsidRDefault="00EA7478" w:rsidP="001D09D0">
            <w:pPr>
              <w:pStyle w:val="Default"/>
              <w:jc w:val="center"/>
              <w:rPr>
                <w:sz w:val="20"/>
                <w:szCs w:val="20"/>
              </w:rPr>
            </w:pPr>
            <w:r w:rsidRPr="00EA7478">
              <w:rPr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3402" w:type="dxa"/>
            <w:shd w:val="clear" w:color="auto" w:fill="DAE9F7" w:themeFill="text2" w:themeFillTint="1A"/>
          </w:tcPr>
          <w:p w14:paraId="43332043" w14:textId="3052A5DE" w:rsidR="00EA7478" w:rsidRPr="00EA7478" w:rsidRDefault="00EA7478" w:rsidP="001D09D0">
            <w:pPr>
              <w:pStyle w:val="Default"/>
              <w:jc w:val="center"/>
              <w:rPr>
                <w:sz w:val="20"/>
                <w:szCs w:val="20"/>
              </w:rPr>
            </w:pPr>
            <w:r w:rsidRPr="00EA7478">
              <w:rPr>
                <w:b/>
                <w:bCs/>
                <w:sz w:val="20"/>
                <w:szCs w:val="20"/>
              </w:rPr>
              <w:t>Recommendations</w:t>
            </w:r>
          </w:p>
          <w:p w14:paraId="1B69927E" w14:textId="6DB20BE3" w:rsidR="00EA7478" w:rsidRPr="00EA7478" w:rsidRDefault="00EA7478" w:rsidP="001D09D0">
            <w:pPr>
              <w:pStyle w:val="Default"/>
              <w:jc w:val="center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>We recommend that The Alliance considers the following:</w:t>
            </w:r>
          </w:p>
        </w:tc>
        <w:tc>
          <w:tcPr>
            <w:tcW w:w="6324" w:type="dxa"/>
            <w:shd w:val="clear" w:color="auto" w:fill="DAE9F7" w:themeFill="text2" w:themeFillTint="1A"/>
          </w:tcPr>
          <w:p w14:paraId="6F531C50" w14:textId="77777777" w:rsidR="00EA7478" w:rsidRDefault="00EA7478" w:rsidP="001D09D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</w:t>
            </w:r>
          </w:p>
          <w:p w14:paraId="4C58C8D7" w14:textId="6BDB8134" w:rsidR="00EA7478" w:rsidRPr="00EA7478" w:rsidRDefault="00EA7478" w:rsidP="001D09D0">
            <w:pPr>
              <w:pStyle w:val="Default"/>
              <w:jc w:val="center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>The Alliance will take forward the following actions in response to the recommendations:</w:t>
            </w:r>
          </w:p>
        </w:tc>
      </w:tr>
      <w:tr w:rsidR="00EA7478" w:rsidRPr="00EA7478" w14:paraId="0696BDF2" w14:textId="051DBE25" w:rsidTr="003F104F">
        <w:trPr>
          <w:trHeight w:val="2292"/>
        </w:trPr>
        <w:tc>
          <w:tcPr>
            <w:tcW w:w="2290" w:type="dxa"/>
          </w:tcPr>
          <w:p w14:paraId="0D1E4C1C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Godalming: the 0-5 model of wellbeing </w:t>
            </w:r>
          </w:p>
        </w:tc>
        <w:tc>
          <w:tcPr>
            <w:tcW w:w="2551" w:type="dxa"/>
          </w:tcPr>
          <w:p w14:paraId="5E5A973A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Peer-to-peer support is invaluable for new parents, but many don’t know how to access this peer support. </w:t>
            </w:r>
          </w:p>
        </w:tc>
        <w:tc>
          <w:tcPr>
            <w:tcW w:w="3402" w:type="dxa"/>
          </w:tcPr>
          <w:p w14:paraId="44AD06B9" w14:textId="77777777" w:rsidR="00EA7478" w:rsidRPr="00EA7478" w:rsidRDefault="00EA7478" w:rsidP="00EA7478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Developing a comprehensive list of all </w:t>
            </w:r>
            <w:proofErr w:type="gramStart"/>
            <w:r w:rsidRPr="00EA7478">
              <w:rPr>
                <w:sz w:val="20"/>
                <w:szCs w:val="20"/>
              </w:rPr>
              <w:t>peer</w:t>
            </w:r>
            <w:proofErr w:type="gramEnd"/>
            <w:r w:rsidRPr="00EA7478">
              <w:rPr>
                <w:sz w:val="20"/>
                <w:szCs w:val="20"/>
              </w:rPr>
              <w:t xml:space="preserve"> to peer support groups and activities available in the Godalming area – including associated costs – which is shared with all new parents. </w:t>
            </w:r>
          </w:p>
          <w:p w14:paraId="3CE7AE3D" w14:textId="2BB9472A" w:rsidR="00EA7478" w:rsidRPr="00EA7478" w:rsidRDefault="00EA7478" w:rsidP="00EA7478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Ensure all </w:t>
            </w:r>
            <w:r w:rsidR="008610E0" w:rsidRPr="00EA7478">
              <w:rPr>
                <w:sz w:val="20"/>
                <w:szCs w:val="20"/>
              </w:rPr>
              <w:t>front-line</w:t>
            </w:r>
            <w:r w:rsidRPr="00EA7478">
              <w:rPr>
                <w:sz w:val="20"/>
                <w:szCs w:val="20"/>
              </w:rPr>
              <w:t xml:space="preserve"> staff are aware of the support group list and signpost appropriately. </w:t>
            </w:r>
          </w:p>
          <w:p w14:paraId="1F143B7F" w14:textId="5BA0EC35" w:rsidR="00EA7478" w:rsidRPr="00EA7478" w:rsidRDefault="00EA7478" w:rsidP="00EA7478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Ensuring a consistent approach to informing new parents about the health visitor </w:t>
            </w:r>
            <w:r w:rsidR="008610E0" w:rsidRPr="00EA7478">
              <w:rPr>
                <w:sz w:val="20"/>
                <w:szCs w:val="20"/>
              </w:rPr>
              <w:t>drop-in</w:t>
            </w:r>
            <w:r w:rsidRPr="00EA7478">
              <w:rPr>
                <w:sz w:val="20"/>
                <w:szCs w:val="20"/>
              </w:rPr>
              <w:t xml:space="preserve"> clinics (times, locations, remit, contact details etc.) in the area, and the 0-19 advice line. </w:t>
            </w:r>
          </w:p>
          <w:p w14:paraId="663B28BD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14:paraId="16FDD801" w14:textId="77ECB15C" w:rsidR="009006A3" w:rsidRDefault="008610E0" w:rsidP="008610E0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Guildford and Waverley Alliance </w:t>
            </w:r>
            <w:r w:rsidR="0068321D" w:rsidRPr="0068321D">
              <w:rPr>
                <w:sz w:val="20"/>
                <w:szCs w:val="20"/>
              </w:rPr>
              <w:t xml:space="preserve">are setting up a working group to develop a collaborative approach to supporting 0-5s, young people and families in Godalming Central &amp; </w:t>
            </w:r>
            <w:proofErr w:type="spellStart"/>
            <w:r w:rsidR="0068321D" w:rsidRPr="0068321D">
              <w:rPr>
                <w:sz w:val="20"/>
                <w:szCs w:val="20"/>
              </w:rPr>
              <w:t>Ockford</w:t>
            </w:r>
            <w:proofErr w:type="spellEnd"/>
            <w:r>
              <w:rPr>
                <w:sz w:val="20"/>
                <w:szCs w:val="20"/>
              </w:rPr>
              <w:t xml:space="preserve"> Ridge</w:t>
            </w:r>
            <w:r w:rsidR="0068321D" w:rsidRPr="0068321D">
              <w:rPr>
                <w:sz w:val="20"/>
                <w:szCs w:val="20"/>
              </w:rPr>
              <w:t xml:space="preserve">.  We will take the </w:t>
            </w:r>
            <w:r>
              <w:rPr>
                <w:sz w:val="20"/>
                <w:szCs w:val="20"/>
              </w:rPr>
              <w:t xml:space="preserve">Healthwatch </w:t>
            </w:r>
            <w:r w:rsidR="0068321D" w:rsidRPr="0068321D">
              <w:rPr>
                <w:sz w:val="20"/>
                <w:szCs w:val="20"/>
              </w:rPr>
              <w:t>recommendation</w:t>
            </w:r>
            <w:r>
              <w:rPr>
                <w:sz w:val="20"/>
                <w:szCs w:val="20"/>
              </w:rPr>
              <w:t>s</w:t>
            </w:r>
            <w:r w:rsidR="0068321D" w:rsidRPr="0068321D">
              <w:rPr>
                <w:sz w:val="20"/>
                <w:szCs w:val="20"/>
              </w:rPr>
              <w:t xml:space="preserve"> to that group to discuss</w:t>
            </w:r>
            <w:r>
              <w:rPr>
                <w:sz w:val="20"/>
                <w:szCs w:val="20"/>
              </w:rPr>
              <w:t xml:space="preserve"> and develop a plan of action</w:t>
            </w:r>
            <w:r w:rsidR="0068321D" w:rsidRPr="0068321D">
              <w:rPr>
                <w:sz w:val="20"/>
                <w:szCs w:val="20"/>
              </w:rPr>
              <w:t>.</w:t>
            </w:r>
          </w:p>
          <w:p w14:paraId="00BF06F5" w14:textId="0394191A" w:rsidR="008610E0" w:rsidRDefault="008610E0" w:rsidP="008610E0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Health Visting Team adds </w:t>
            </w:r>
            <w:r w:rsidRPr="008610E0">
              <w:rPr>
                <w:sz w:val="20"/>
                <w:szCs w:val="20"/>
              </w:rPr>
              <w:t>a leaflet to the front of every red book</w:t>
            </w:r>
            <w:r>
              <w:rPr>
                <w:sz w:val="20"/>
                <w:szCs w:val="20"/>
              </w:rPr>
              <w:t xml:space="preserve"> which is given to parents </w:t>
            </w:r>
            <w:r w:rsidRPr="008610E0">
              <w:rPr>
                <w:sz w:val="20"/>
                <w:szCs w:val="20"/>
              </w:rPr>
              <w:t xml:space="preserve">at the new birth visit. Parents are also signposted to </w:t>
            </w:r>
            <w:r>
              <w:rPr>
                <w:sz w:val="20"/>
                <w:szCs w:val="20"/>
              </w:rPr>
              <w:t xml:space="preserve">the health visiting </w:t>
            </w:r>
            <w:r w:rsidRPr="008610E0">
              <w:rPr>
                <w:sz w:val="20"/>
                <w:szCs w:val="20"/>
              </w:rPr>
              <w:t>advice line and website whereby entering their postcode they can find their local drop-in clinics.  Child Health Clinics and Drop</w:t>
            </w:r>
            <w:r>
              <w:rPr>
                <w:sz w:val="20"/>
                <w:szCs w:val="20"/>
              </w:rPr>
              <w:t>-</w:t>
            </w:r>
            <w:r w:rsidRPr="008610E0">
              <w:rPr>
                <w:sz w:val="20"/>
                <w:szCs w:val="20"/>
              </w:rPr>
              <w:t xml:space="preserve">Ins </w:t>
            </w:r>
            <w:r>
              <w:rPr>
                <w:sz w:val="20"/>
                <w:szCs w:val="20"/>
              </w:rPr>
              <w:t xml:space="preserve">can be found at </w:t>
            </w:r>
            <w:hyperlink r:id="rId5" w:history="1">
              <w:r w:rsidRPr="00645314">
                <w:rPr>
                  <w:rStyle w:val="Hyperlink"/>
                  <w:sz w:val="20"/>
                  <w:szCs w:val="20"/>
                </w:rPr>
                <w:t>www.childrenshealthsurrey.nhs.uk</w:t>
              </w:r>
            </w:hyperlink>
          </w:p>
          <w:p w14:paraId="690BC7F3" w14:textId="428FA9F3" w:rsidR="008610E0" w:rsidRPr="009006A3" w:rsidRDefault="008610E0" w:rsidP="0068321D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Surrey Heartlands also </w:t>
            </w:r>
            <w:r w:rsidRPr="008610E0">
              <w:rPr>
                <w:sz w:val="20"/>
                <w:szCs w:val="20"/>
              </w:rPr>
              <w:t xml:space="preserve">signpost to Family Information Service and </w:t>
            </w:r>
            <w:r>
              <w:rPr>
                <w:sz w:val="20"/>
                <w:szCs w:val="20"/>
              </w:rPr>
              <w:t xml:space="preserve">the </w:t>
            </w:r>
            <w:r w:rsidRPr="008610E0">
              <w:rPr>
                <w:sz w:val="20"/>
                <w:szCs w:val="20"/>
              </w:rPr>
              <w:t>Grapevine magazine</w:t>
            </w:r>
            <w:r>
              <w:rPr>
                <w:sz w:val="20"/>
                <w:szCs w:val="20"/>
              </w:rPr>
              <w:t xml:space="preserve"> for information about local support groups.</w:t>
            </w:r>
          </w:p>
          <w:p w14:paraId="61144358" w14:textId="0B392E9D" w:rsidR="009006A3" w:rsidRPr="009006A3" w:rsidRDefault="009006A3" w:rsidP="00EA7478">
            <w:pPr>
              <w:pStyle w:val="Default"/>
              <w:rPr>
                <w:sz w:val="20"/>
                <w:szCs w:val="20"/>
              </w:rPr>
            </w:pPr>
          </w:p>
        </w:tc>
      </w:tr>
      <w:tr w:rsidR="00EA7478" w:rsidRPr="00EA7478" w14:paraId="1DE93C36" w14:textId="61685FC2" w:rsidTr="003F104F">
        <w:trPr>
          <w:trHeight w:val="867"/>
        </w:trPr>
        <w:tc>
          <w:tcPr>
            <w:tcW w:w="2290" w:type="dxa"/>
          </w:tcPr>
          <w:p w14:paraId="600193E0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Experiences of general practice </w:t>
            </w:r>
          </w:p>
        </w:tc>
        <w:tc>
          <w:tcPr>
            <w:tcW w:w="2551" w:type="dxa"/>
          </w:tcPr>
          <w:p w14:paraId="3792E399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Members of the Cantonese community are still struggling to access the language support they need in </w:t>
            </w:r>
            <w:r w:rsidRPr="00EA7478">
              <w:rPr>
                <w:sz w:val="20"/>
                <w:szCs w:val="20"/>
              </w:rPr>
              <w:lastRenderedPageBreak/>
              <w:t xml:space="preserve">the primary care setting. </w:t>
            </w:r>
          </w:p>
        </w:tc>
        <w:tc>
          <w:tcPr>
            <w:tcW w:w="3402" w:type="dxa"/>
          </w:tcPr>
          <w:p w14:paraId="74C3FDB7" w14:textId="0F96EB1C" w:rsidR="00EA7478" w:rsidRPr="005B2F5B" w:rsidRDefault="00EA7478" w:rsidP="00EA7478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lastRenderedPageBreak/>
              <w:t xml:space="preserve">Ensuring all patients entering general practice are aware of their rights and what they can expect in terms of language </w:t>
            </w:r>
            <w:r w:rsidRPr="00EA7478">
              <w:rPr>
                <w:sz w:val="20"/>
                <w:szCs w:val="20"/>
              </w:rPr>
              <w:lastRenderedPageBreak/>
              <w:t xml:space="preserve">support / translation and interpreter services. </w:t>
            </w:r>
          </w:p>
        </w:tc>
        <w:tc>
          <w:tcPr>
            <w:tcW w:w="6324" w:type="dxa"/>
          </w:tcPr>
          <w:p w14:paraId="73046CDF" w14:textId="6ECFF798" w:rsidR="001C0AC7" w:rsidRPr="0068321D" w:rsidRDefault="001C0AC7" w:rsidP="0068321D">
            <w:pPr>
              <w:pStyle w:val="ListParagraph"/>
              <w:numPr>
                <w:ilvl w:val="0"/>
                <w:numId w:val="13"/>
              </w:numPr>
              <w:spacing w:after="0" w:line="252" w:lineRule="auto"/>
              <w:rPr>
                <w:rFonts w:eastAsia="Times New Roman"/>
              </w:rPr>
            </w:pPr>
            <w:r w:rsidRPr="0068321D">
              <w:rPr>
                <w:rFonts w:eastAsia="Times New Roman"/>
              </w:rPr>
              <w:lastRenderedPageBreak/>
              <w:t xml:space="preserve">Big Word is currently working on some technology to add to NHS pages – </w:t>
            </w:r>
            <w:r w:rsidR="005B2F5B">
              <w:rPr>
                <w:rFonts w:eastAsia="Times New Roman"/>
              </w:rPr>
              <w:t xml:space="preserve">due to be </w:t>
            </w:r>
            <w:r w:rsidRPr="0068321D">
              <w:rPr>
                <w:rFonts w:eastAsia="Times New Roman"/>
              </w:rPr>
              <w:t xml:space="preserve">rolled out to us by October (its being tested </w:t>
            </w:r>
            <w:r w:rsidR="005B2F5B">
              <w:rPr>
                <w:rFonts w:eastAsia="Times New Roman"/>
              </w:rPr>
              <w:t>i</w:t>
            </w:r>
            <w:r w:rsidRPr="0068321D">
              <w:rPr>
                <w:rFonts w:eastAsia="Times New Roman"/>
              </w:rPr>
              <w:t>n Birmingham ICB</w:t>
            </w:r>
            <w:r w:rsidR="005B2F5B">
              <w:rPr>
                <w:rFonts w:eastAsia="Times New Roman"/>
              </w:rPr>
              <w:t xml:space="preserve"> first</w:t>
            </w:r>
            <w:r w:rsidRPr="0068321D">
              <w:rPr>
                <w:rFonts w:eastAsia="Times New Roman"/>
              </w:rPr>
              <w:t xml:space="preserve">).  </w:t>
            </w:r>
          </w:p>
          <w:p w14:paraId="0BD18F64" w14:textId="22AA2320" w:rsidR="001C0AC7" w:rsidRPr="0068321D" w:rsidRDefault="001C0AC7" w:rsidP="0068321D">
            <w:pPr>
              <w:pStyle w:val="ListParagraph"/>
              <w:numPr>
                <w:ilvl w:val="0"/>
                <w:numId w:val="13"/>
              </w:numPr>
              <w:spacing w:after="0" w:line="252" w:lineRule="auto"/>
              <w:rPr>
                <w:rFonts w:eastAsia="Times New Roman"/>
              </w:rPr>
            </w:pPr>
            <w:r w:rsidRPr="0068321D">
              <w:rPr>
                <w:rFonts w:eastAsia="Times New Roman"/>
              </w:rPr>
              <w:t>A poster is currently being worked up by the B</w:t>
            </w:r>
            <w:r w:rsidR="005B2F5B">
              <w:rPr>
                <w:rFonts w:eastAsia="Times New Roman"/>
              </w:rPr>
              <w:t xml:space="preserve">ig </w:t>
            </w:r>
            <w:r w:rsidRPr="0068321D">
              <w:rPr>
                <w:rFonts w:eastAsia="Times New Roman"/>
              </w:rPr>
              <w:t>W</w:t>
            </w:r>
            <w:r w:rsidR="005B2F5B">
              <w:rPr>
                <w:rFonts w:eastAsia="Times New Roman"/>
              </w:rPr>
              <w:t>ord</w:t>
            </w:r>
            <w:r w:rsidRPr="0068321D">
              <w:rPr>
                <w:rFonts w:eastAsia="Times New Roman"/>
              </w:rPr>
              <w:t xml:space="preserve"> for practices</w:t>
            </w:r>
            <w:r w:rsidR="005B2F5B">
              <w:rPr>
                <w:rFonts w:eastAsia="Times New Roman"/>
              </w:rPr>
              <w:t xml:space="preserve"> to be able to display in their waiting areas</w:t>
            </w:r>
            <w:r w:rsidRPr="0068321D">
              <w:rPr>
                <w:rFonts w:eastAsia="Times New Roman"/>
              </w:rPr>
              <w:t xml:space="preserve">. </w:t>
            </w:r>
          </w:p>
          <w:p w14:paraId="7C2E78AE" w14:textId="331AC7AF" w:rsidR="009006A3" w:rsidRPr="00EA7478" w:rsidRDefault="009006A3" w:rsidP="00EA7478">
            <w:pPr>
              <w:pStyle w:val="Default"/>
              <w:rPr>
                <w:sz w:val="20"/>
                <w:szCs w:val="20"/>
              </w:rPr>
            </w:pPr>
          </w:p>
        </w:tc>
      </w:tr>
      <w:tr w:rsidR="00EA7478" w:rsidRPr="00EA7478" w14:paraId="64430E9D" w14:textId="1DD897EF" w:rsidTr="003F104F">
        <w:trPr>
          <w:trHeight w:val="980"/>
        </w:trPr>
        <w:tc>
          <w:tcPr>
            <w:tcW w:w="2290" w:type="dxa"/>
          </w:tcPr>
          <w:p w14:paraId="17B7984B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Experiences of general practice </w:t>
            </w:r>
          </w:p>
        </w:tc>
        <w:tc>
          <w:tcPr>
            <w:tcW w:w="2551" w:type="dxa"/>
          </w:tcPr>
          <w:p w14:paraId="795A4351" w14:textId="25F1E504" w:rsidR="00EA7478" w:rsidRPr="00EA7478" w:rsidRDefault="00705239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>Self-management</w:t>
            </w:r>
            <w:r w:rsidR="00EA7478" w:rsidRPr="00EA7478">
              <w:rPr>
                <w:sz w:val="20"/>
                <w:szCs w:val="20"/>
              </w:rPr>
              <w:t xml:space="preserve"> of medications is being made difficult by repeat prescription delays and confusion around the system and process. </w:t>
            </w:r>
          </w:p>
        </w:tc>
        <w:tc>
          <w:tcPr>
            <w:tcW w:w="3402" w:type="dxa"/>
          </w:tcPr>
          <w:p w14:paraId="185AF264" w14:textId="45FA34A5" w:rsidR="00EA7478" w:rsidRPr="00EA7478" w:rsidRDefault="00EA7478" w:rsidP="00EA7478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Supporting GP practices to develop a ‘how to’ guide which clarifies the process for obtaining repeat prescriptions in their surgery. </w:t>
            </w:r>
          </w:p>
          <w:p w14:paraId="7411A710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14:paraId="25077A86" w14:textId="7DF1004A" w:rsidR="0068321D" w:rsidRPr="0068321D" w:rsidRDefault="0068321D" w:rsidP="006832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8321D">
              <w:rPr>
                <w:sz w:val="20"/>
                <w:szCs w:val="20"/>
              </w:rPr>
              <w:t>ll practices should have a repeat prescribing protocol in place</w:t>
            </w:r>
            <w:r>
              <w:rPr>
                <w:sz w:val="20"/>
                <w:szCs w:val="20"/>
              </w:rPr>
              <w:t xml:space="preserve">. We </w:t>
            </w:r>
            <w:r w:rsidRPr="0068321D">
              <w:rPr>
                <w:sz w:val="20"/>
                <w:szCs w:val="20"/>
              </w:rPr>
              <w:t xml:space="preserve">will pick this up </w:t>
            </w:r>
            <w:r w:rsidR="005B2F5B">
              <w:rPr>
                <w:sz w:val="20"/>
                <w:szCs w:val="20"/>
              </w:rPr>
              <w:t>at</w:t>
            </w:r>
            <w:r w:rsidRPr="0068321D">
              <w:rPr>
                <w:sz w:val="20"/>
                <w:szCs w:val="20"/>
              </w:rPr>
              <w:t xml:space="preserve"> the next </w:t>
            </w:r>
            <w:r w:rsidR="005B2F5B">
              <w:rPr>
                <w:sz w:val="20"/>
                <w:szCs w:val="20"/>
              </w:rPr>
              <w:t>Guildford and Waverley Patient Participation Group meeting</w:t>
            </w:r>
            <w:r w:rsidRPr="0068321D">
              <w:rPr>
                <w:sz w:val="20"/>
                <w:szCs w:val="20"/>
              </w:rPr>
              <w:t xml:space="preserve"> to get some further clarity on how best we can support patients to understand the systems and processes.</w:t>
            </w:r>
          </w:p>
          <w:p w14:paraId="194974E2" w14:textId="04EB4512" w:rsidR="009006A3" w:rsidRPr="00EA7478" w:rsidRDefault="009006A3" w:rsidP="00EA7478">
            <w:pPr>
              <w:pStyle w:val="Default"/>
              <w:rPr>
                <w:sz w:val="20"/>
                <w:szCs w:val="20"/>
              </w:rPr>
            </w:pPr>
          </w:p>
        </w:tc>
      </w:tr>
      <w:tr w:rsidR="00EA7478" w:rsidRPr="00EA7478" w14:paraId="67B38FBF" w14:textId="3215B966" w:rsidTr="003F104F">
        <w:trPr>
          <w:trHeight w:val="1144"/>
        </w:trPr>
        <w:tc>
          <w:tcPr>
            <w:tcW w:w="2290" w:type="dxa"/>
          </w:tcPr>
          <w:p w14:paraId="7B949C56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Royal Surrey County Hospital: clarity of communication with patients and meeting individual needs </w:t>
            </w:r>
          </w:p>
        </w:tc>
        <w:tc>
          <w:tcPr>
            <w:tcW w:w="2551" w:type="dxa"/>
          </w:tcPr>
          <w:p w14:paraId="0F3E8063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People are confused about the </w:t>
            </w:r>
            <w:proofErr w:type="spellStart"/>
            <w:r w:rsidRPr="00EA7478">
              <w:rPr>
                <w:sz w:val="20"/>
                <w:szCs w:val="20"/>
              </w:rPr>
              <w:t>MyCare</w:t>
            </w:r>
            <w:proofErr w:type="spellEnd"/>
            <w:r w:rsidRPr="00EA7478">
              <w:rPr>
                <w:sz w:val="20"/>
                <w:szCs w:val="20"/>
              </w:rPr>
              <w:t xml:space="preserve"> portal – how to use it and what it is. </w:t>
            </w:r>
          </w:p>
        </w:tc>
        <w:tc>
          <w:tcPr>
            <w:tcW w:w="3402" w:type="dxa"/>
          </w:tcPr>
          <w:p w14:paraId="28A4F31A" w14:textId="77777777" w:rsidR="00EA7478" w:rsidRPr="00EA7478" w:rsidRDefault="00EA7478" w:rsidP="00EA7478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7478">
              <w:rPr>
                <w:sz w:val="20"/>
                <w:szCs w:val="20"/>
              </w:rPr>
              <w:t xml:space="preserve">Evaluating the communication which is shared with patients about the </w:t>
            </w:r>
            <w:proofErr w:type="spellStart"/>
            <w:r w:rsidRPr="00EA7478">
              <w:rPr>
                <w:sz w:val="20"/>
                <w:szCs w:val="20"/>
              </w:rPr>
              <w:t>MyCare</w:t>
            </w:r>
            <w:proofErr w:type="spellEnd"/>
            <w:r w:rsidRPr="00EA7478">
              <w:rPr>
                <w:sz w:val="20"/>
                <w:szCs w:val="20"/>
              </w:rPr>
              <w:t xml:space="preserve"> portal and how this could be made clearer. </w:t>
            </w:r>
          </w:p>
          <w:p w14:paraId="5B0EF400" w14:textId="77777777" w:rsidR="00EA7478" w:rsidRPr="00EA7478" w:rsidRDefault="00EA7478" w:rsidP="00EA74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14:paraId="72D126D9" w14:textId="2C564E90" w:rsidR="0004247B" w:rsidRPr="0004247B" w:rsidRDefault="00D67F54" w:rsidP="0004247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7F54">
              <w:rPr>
                <w:sz w:val="20"/>
                <w:szCs w:val="20"/>
              </w:rPr>
              <w:t>The Patient Advice and Liaison Service</w:t>
            </w:r>
            <w:r w:rsidR="0004247B" w:rsidRPr="0004247B">
              <w:rPr>
                <w:sz w:val="20"/>
                <w:szCs w:val="20"/>
              </w:rPr>
              <w:t xml:space="preserve"> team support all contacts in accessing </w:t>
            </w:r>
            <w:proofErr w:type="spellStart"/>
            <w:r w:rsidR="0004247B" w:rsidRPr="0004247B">
              <w:rPr>
                <w:sz w:val="20"/>
                <w:szCs w:val="20"/>
              </w:rPr>
              <w:t>MyCare</w:t>
            </w:r>
            <w:proofErr w:type="spellEnd"/>
          </w:p>
          <w:p w14:paraId="5CCC4CAA" w14:textId="26111410" w:rsidR="0004247B" w:rsidRPr="0004247B" w:rsidRDefault="00D67F54" w:rsidP="0004247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Royal Surrey w</w:t>
            </w:r>
            <w:r w:rsidR="0004247B" w:rsidRPr="0004247B">
              <w:rPr>
                <w:sz w:val="20"/>
                <w:szCs w:val="20"/>
              </w:rPr>
              <w:t>ebsite</w:t>
            </w:r>
            <w:r>
              <w:rPr>
                <w:sz w:val="20"/>
                <w:szCs w:val="20"/>
              </w:rPr>
              <w:t xml:space="preserve"> has been</w:t>
            </w:r>
            <w:r w:rsidR="0004247B" w:rsidRPr="0004247B">
              <w:rPr>
                <w:sz w:val="20"/>
                <w:szCs w:val="20"/>
              </w:rPr>
              <w:t xml:space="preserve"> changed to support information on </w:t>
            </w:r>
            <w:proofErr w:type="spellStart"/>
            <w:r w:rsidR="0004247B" w:rsidRPr="0004247B">
              <w:rPr>
                <w:sz w:val="20"/>
                <w:szCs w:val="20"/>
              </w:rPr>
              <w:t>MyCare</w:t>
            </w:r>
            <w:proofErr w:type="spellEnd"/>
          </w:p>
          <w:p w14:paraId="24A5FD16" w14:textId="77777777" w:rsidR="0004247B" w:rsidRPr="0004247B" w:rsidRDefault="0004247B" w:rsidP="0004247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4247B">
              <w:rPr>
                <w:sz w:val="20"/>
                <w:szCs w:val="20"/>
              </w:rPr>
              <w:t>All departments have a poster with QR code to support access</w:t>
            </w:r>
          </w:p>
          <w:p w14:paraId="0EEAFAFB" w14:textId="4931BB80" w:rsidR="0004247B" w:rsidRPr="0004247B" w:rsidRDefault="0004247B" w:rsidP="0004247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4247B">
              <w:rPr>
                <w:sz w:val="20"/>
                <w:szCs w:val="20"/>
              </w:rPr>
              <w:t xml:space="preserve">Letters </w:t>
            </w:r>
            <w:r w:rsidR="00D67F54">
              <w:rPr>
                <w:sz w:val="20"/>
                <w:szCs w:val="20"/>
              </w:rPr>
              <w:t xml:space="preserve">are </w:t>
            </w:r>
            <w:r w:rsidRPr="0004247B">
              <w:rPr>
                <w:sz w:val="20"/>
                <w:szCs w:val="20"/>
              </w:rPr>
              <w:t xml:space="preserve">being reviewed to ensure information on </w:t>
            </w:r>
            <w:proofErr w:type="spellStart"/>
            <w:r w:rsidRPr="0004247B">
              <w:rPr>
                <w:sz w:val="20"/>
                <w:szCs w:val="20"/>
              </w:rPr>
              <w:t>MYCare</w:t>
            </w:r>
            <w:proofErr w:type="spellEnd"/>
            <w:r>
              <w:rPr>
                <w:sz w:val="20"/>
                <w:szCs w:val="20"/>
              </w:rPr>
              <w:t xml:space="preserve"> is clear</w:t>
            </w:r>
          </w:p>
          <w:p w14:paraId="6444ED6A" w14:textId="2903D04B" w:rsidR="00CB1AC9" w:rsidRDefault="0004247B" w:rsidP="0004247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4247B">
              <w:rPr>
                <w:sz w:val="20"/>
                <w:szCs w:val="20"/>
              </w:rPr>
              <w:t xml:space="preserve">All outpatient appointments discuss </w:t>
            </w:r>
            <w:proofErr w:type="spellStart"/>
            <w:r w:rsidRPr="0004247B">
              <w:rPr>
                <w:sz w:val="20"/>
                <w:szCs w:val="20"/>
              </w:rPr>
              <w:t>MyCare</w:t>
            </w:r>
            <w:proofErr w:type="spellEnd"/>
            <w:r w:rsidRPr="0004247B">
              <w:rPr>
                <w:sz w:val="20"/>
                <w:szCs w:val="20"/>
              </w:rPr>
              <w:t xml:space="preserve"> where appropriate</w:t>
            </w:r>
          </w:p>
          <w:p w14:paraId="29271A89" w14:textId="46A2317A" w:rsidR="0004247B" w:rsidRPr="0004247B" w:rsidRDefault="00D67F54" w:rsidP="0004247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Surrey Heartlands </w:t>
            </w:r>
            <w:r w:rsidR="0004247B" w:rsidRPr="0004247B">
              <w:rPr>
                <w:sz w:val="20"/>
                <w:szCs w:val="20"/>
              </w:rPr>
              <w:t xml:space="preserve">ICB website to include section on </w:t>
            </w:r>
            <w:proofErr w:type="spellStart"/>
            <w:r w:rsidR="0004247B" w:rsidRPr="0004247B">
              <w:rPr>
                <w:sz w:val="20"/>
                <w:szCs w:val="20"/>
              </w:rPr>
              <w:t>MyCare</w:t>
            </w:r>
            <w:proofErr w:type="spellEnd"/>
            <w:r w:rsidR="0004247B" w:rsidRPr="0004247B">
              <w:rPr>
                <w:sz w:val="20"/>
                <w:szCs w:val="20"/>
              </w:rPr>
              <w:t xml:space="preserve"> and link to R</w:t>
            </w:r>
            <w:r>
              <w:rPr>
                <w:sz w:val="20"/>
                <w:szCs w:val="20"/>
              </w:rPr>
              <w:t>oyal Surrey website</w:t>
            </w:r>
          </w:p>
          <w:p w14:paraId="39E892C1" w14:textId="4F324AAF" w:rsidR="0004247B" w:rsidRDefault="0004247B" w:rsidP="0004247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4247B">
              <w:rPr>
                <w:sz w:val="20"/>
                <w:szCs w:val="20"/>
              </w:rPr>
              <w:t xml:space="preserve">Info on </w:t>
            </w:r>
            <w:proofErr w:type="spellStart"/>
            <w:r w:rsidRPr="0004247B">
              <w:rPr>
                <w:sz w:val="20"/>
                <w:szCs w:val="20"/>
              </w:rPr>
              <w:t>MyCare</w:t>
            </w:r>
            <w:proofErr w:type="spellEnd"/>
            <w:r w:rsidRPr="0004247B">
              <w:rPr>
                <w:sz w:val="20"/>
                <w:szCs w:val="20"/>
              </w:rPr>
              <w:t xml:space="preserve"> to be </w:t>
            </w:r>
            <w:r w:rsidR="00D67F54">
              <w:rPr>
                <w:sz w:val="20"/>
                <w:szCs w:val="20"/>
              </w:rPr>
              <w:t xml:space="preserve">provided </w:t>
            </w:r>
            <w:r w:rsidRPr="0004247B">
              <w:rPr>
                <w:sz w:val="20"/>
                <w:szCs w:val="20"/>
              </w:rPr>
              <w:t xml:space="preserve">in </w:t>
            </w:r>
            <w:r w:rsidR="00D67F54">
              <w:rPr>
                <w:sz w:val="20"/>
                <w:szCs w:val="20"/>
              </w:rPr>
              <w:t xml:space="preserve">Guildford and Waverley </w:t>
            </w:r>
            <w:r w:rsidRPr="0004247B">
              <w:rPr>
                <w:sz w:val="20"/>
                <w:szCs w:val="20"/>
              </w:rPr>
              <w:t xml:space="preserve">Primary Care Newsletter </w:t>
            </w:r>
            <w:r w:rsidR="00D67F54">
              <w:rPr>
                <w:sz w:val="20"/>
                <w:szCs w:val="20"/>
              </w:rPr>
              <w:t>to raise awareness</w:t>
            </w:r>
          </w:p>
          <w:p w14:paraId="067659D8" w14:textId="07A5051C" w:rsidR="00CB1AC9" w:rsidRPr="00EA7478" w:rsidRDefault="00CB1AC9" w:rsidP="00EA747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C974E64" w14:textId="77777777" w:rsidR="00DF5FF2" w:rsidRPr="00EA7478" w:rsidRDefault="00DF5FF2">
      <w:pPr>
        <w:rPr>
          <w:sz w:val="20"/>
          <w:szCs w:val="20"/>
        </w:rPr>
      </w:pPr>
    </w:p>
    <w:sectPr w:rsidR="00DF5FF2" w:rsidRPr="00EA7478" w:rsidSect="00EA74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DC55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15B8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4ED88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1A42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AC03F9"/>
    <w:multiLevelType w:val="hybridMultilevel"/>
    <w:tmpl w:val="4EDCD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15BB1"/>
    <w:multiLevelType w:val="hybridMultilevel"/>
    <w:tmpl w:val="27AC66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924A1"/>
    <w:multiLevelType w:val="hybridMultilevel"/>
    <w:tmpl w:val="BF1E7D96"/>
    <w:lvl w:ilvl="0" w:tplc="34B429EC">
      <w:numFmt w:val="bullet"/>
      <w:lvlText w:val="-"/>
      <w:lvlJc w:val="left"/>
      <w:pPr>
        <w:ind w:left="360" w:hanging="360"/>
      </w:pPr>
      <w:rPr>
        <w:rFonts w:ascii="Aptos" w:eastAsia="Aptos" w:hAnsi="Aptos" w:cs="Apto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3E4B95"/>
    <w:multiLevelType w:val="hybridMultilevel"/>
    <w:tmpl w:val="A43644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57149A"/>
    <w:multiLevelType w:val="hybridMultilevel"/>
    <w:tmpl w:val="A894C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79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4E12572"/>
    <w:multiLevelType w:val="hybridMultilevel"/>
    <w:tmpl w:val="0888C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825DC"/>
    <w:multiLevelType w:val="hybridMultilevel"/>
    <w:tmpl w:val="5E123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702310">
    <w:abstractNumId w:val="9"/>
  </w:num>
  <w:num w:numId="2" w16cid:durableId="832454075">
    <w:abstractNumId w:val="1"/>
  </w:num>
  <w:num w:numId="3" w16cid:durableId="1655988174">
    <w:abstractNumId w:val="3"/>
  </w:num>
  <w:num w:numId="4" w16cid:durableId="699747733">
    <w:abstractNumId w:val="2"/>
  </w:num>
  <w:num w:numId="5" w16cid:durableId="313412578">
    <w:abstractNumId w:val="0"/>
  </w:num>
  <w:num w:numId="6" w16cid:durableId="1401362533">
    <w:abstractNumId w:val="5"/>
  </w:num>
  <w:num w:numId="7" w16cid:durableId="1486625262">
    <w:abstractNumId w:val="10"/>
  </w:num>
  <w:num w:numId="8" w16cid:durableId="1039474714">
    <w:abstractNumId w:val="7"/>
  </w:num>
  <w:num w:numId="9" w16cid:durableId="1654985948">
    <w:abstractNumId w:val="6"/>
  </w:num>
  <w:num w:numId="10" w16cid:durableId="693964778">
    <w:abstractNumId w:val="6"/>
  </w:num>
  <w:num w:numId="11" w16cid:durableId="581263158">
    <w:abstractNumId w:val="11"/>
  </w:num>
  <w:num w:numId="12" w16cid:durableId="1438214762">
    <w:abstractNumId w:val="8"/>
  </w:num>
  <w:num w:numId="13" w16cid:durableId="809253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78"/>
    <w:rsid w:val="0004247B"/>
    <w:rsid w:val="000C79AB"/>
    <w:rsid w:val="001A7306"/>
    <w:rsid w:val="001C0AC7"/>
    <w:rsid w:val="001D09D0"/>
    <w:rsid w:val="0026090D"/>
    <w:rsid w:val="00271E83"/>
    <w:rsid w:val="003F104F"/>
    <w:rsid w:val="0048577F"/>
    <w:rsid w:val="004C0A96"/>
    <w:rsid w:val="005B2F5B"/>
    <w:rsid w:val="005E5970"/>
    <w:rsid w:val="0068321D"/>
    <w:rsid w:val="006C25FE"/>
    <w:rsid w:val="006F4183"/>
    <w:rsid w:val="00705239"/>
    <w:rsid w:val="00731AB8"/>
    <w:rsid w:val="008135B1"/>
    <w:rsid w:val="008610E0"/>
    <w:rsid w:val="008B5CE5"/>
    <w:rsid w:val="009006A3"/>
    <w:rsid w:val="0099186A"/>
    <w:rsid w:val="00AA7EDC"/>
    <w:rsid w:val="00CB1AC9"/>
    <w:rsid w:val="00D67F54"/>
    <w:rsid w:val="00DA08E4"/>
    <w:rsid w:val="00DF5FF2"/>
    <w:rsid w:val="00E41BC4"/>
    <w:rsid w:val="00EA7478"/>
    <w:rsid w:val="00F264BE"/>
    <w:rsid w:val="00F370F2"/>
    <w:rsid w:val="00F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DB69"/>
  <w15:chartTrackingRefBased/>
  <w15:docId w15:val="{64A7840E-A4FA-49EE-A29F-6A24058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4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4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4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4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47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A7478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0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ldrenshealthsurrey.nhs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8" ma:contentTypeDescription="Create a new document." ma:contentTypeScope="" ma:versionID="7fdda4864e277edfa1d7a12a269c5fde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277a8c8b057b740d177a6a049fe7aa79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d4958-b3d8-4169-a995-8865d8aa179e" xsi:nil="true"/>
    <lcf76f155ced4ddcb4097134ff3c332f xmlns="f199288b-e4f6-45fe-899d-9d747fc98e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D652C5-ACFE-4744-8886-40CD8A0D98BA}"/>
</file>

<file path=customXml/itemProps2.xml><?xml version="1.0" encoding="utf-8"?>
<ds:datastoreItem xmlns:ds="http://schemas.openxmlformats.org/officeDocument/2006/customXml" ds:itemID="{92270C5F-94D8-4AC6-99C6-FA0D9F127ECE}"/>
</file>

<file path=customXml/itemProps3.xml><?xml version="1.0" encoding="utf-8"?>
<ds:datastoreItem xmlns:ds="http://schemas.openxmlformats.org/officeDocument/2006/customXml" ds:itemID="{5D5C2CD7-FAC3-4B0B-8173-3E52BBF16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LUXIMON, Harriet (NHS SURREY HEARTLANDS ICB - 92A)</dc:creator>
  <cp:keywords/>
  <dc:description/>
  <cp:lastModifiedBy>Abby Rodd</cp:lastModifiedBy>
  <cp:revision>3</cp:revision>
  <dcterms:created xsi:type="dcterms:W3CDTF">2024-07-04T15:13:00Z</dcterms:created>
  <dcterms:modified xsi:type="dcterms:W3CDTF">2024-07-04T15:14:00Z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0x01010092450A791186984A8AA0B604D977D0EE</vt:lpwstr>
  </property>
</Properties>
</file>